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69E" w:rsidRPr="003D7C81" w:rsidP="00CD49D3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3D7C81">
        <w:rPr>
          <w:b/>
          <w:u w:val="single"/>
        </w:rPr>
        <w:t>GENERAL OUTLINE OF MAJOR BUSINESS POINTS</w:t>
      </w:r>
    </w:p>
    <w:p w:rsidR="004E75A4" w:rsidRPr="003D7C81" w:rsidP="00CD49D3">
      <w:pPr>
        <w:pStyle w:val="NoSpacing"/>
        <w:jc w:val="center"/>
        <w:rPr>
          <w:b/>
          <w:u w:val="single"/>
        </w:rPr>
      </w:pPr>
      <w:r w:rsidRPr="003D7C81">
        <w:rPr>
          <w:b/>
          <w:u w:val="single"/>
        </w:rPr>
        <w:t>IN THE INTERLOCAL AGREEMENT</w:t>
      </w:r>
    </w:p>
    <w:p w:rsidR="00A6669E" w:rsidP="00490AA2">
      <w:pPr>
        <w:jc w:val="both"/>
      </w:pPr>
    </w:p>
    <w:p w:rsidR="00490AA2" w:rsidP="00490AA2">
      <w:pPr>
        <w:pStyle w:val="ListParagraph"/>
        <w:numPr>
          <w:ilvl w:val="0"/>
          <w:numId w:val="1"/>
        </w:numPr>
        <w:jc w:val="both"/>
      </w:pPr>
      <w:r>
        <w:t>At December 2019 closing:</w:t>
      </w:r>
    </w:p>
    <w:p w:rsidR="00BB3EDE" w:rsidRPr="00880E0A" w:rsidP="00490AA2">
      <w:pPr>
        <w:pStyle w:val="ListParagraph"/>
        <w:numPr>
          <w:ilvl w:val="1"/>
          <w:numId w:val="1"/>
        </w:numPr>
        <w:jc w:val="both"/>
      </w:pPr>
      <w:r>
        <w:t xml:space="preserve">Lake Ashton I will </w:t>
      </w:r>
      <w:r w:rsidRPr="00880E0A">
        <w:t>receive ownership of the “East Course” (18 consecutive golf holes located in Lake Ashton I) [Section 2.1]</w:t>
      </w:r>
    </w:p>
    <w:p w:rsidR="00490AA2" w:rsidRPr="00880E0A" w:rsidP="00490AA2">
      <w:pPr>
        <w:pStyle w:val="ListParagraph"/>
        <w:numPr>
          <w:ilvl w:val="1"/>
          <w:numId w:val="1"/>
        </w:numPr>
        <w:jc w:val="both"/>
      </w:pPr>
      <w:r w:rsidRPr="00880E0A">
        <w:t>Lake Ashton II receives ownership of the “West Course” (15 consecutive golf holes located in Lake Ashton II, 3 related golf holes in Lake Ashton I, and the golf club parcels)</w:t>
      </w:r>
    </w:p>
    <w:p w:rsidR="00490AA2" w:rsidRPr="00880E0A" w:rsidP="00490AA2">
      <w:pPr>
        <w:pStyle w:val="ListParagraph"/>
        <w:jc w:val="both"/>
      </w:pPr>
    </w:p>
    <w:p w:rsidR="00490AA2" w:rsidRPr="00880E0A" w:rsidP="00490AA2">
      <w:pPr>
        <w:pStyle w:val="ListParagraph"/>
        <w:numPr>
          <w:ilvl w:val="0"/>
          <w:numId w:val="1"/>
        </w:numPr>
        <w:jc w:val="both"/>
      </w:pPr>
      <w:r w:rsidRPr="00880E0A">
        <w:t xml:space="preserve">Lake Ashton I pays Lake Ashton II $230,000 (payable in two equal payments – one due at closing, the other up one year later), plus cover its own due diligence costs </w:t>
      </w:r>
      <w:r w:rsidRPr="00880E0A" w:rsidR="00880E0A">
        <w:t>on the East Course</w:t>
      </w:r>
      <w:r w:rsidRPr="00880E0A">
        <w:t xml:space="preserve"> [Section 2.1]</w:t>
      </w:r>
    </w:p>
    <w:p w:rsidR="00490AA2" w:rsidRPr="00880E0A" w:rsidP="00490AA2">
      <w:pPr>
        <w:pStyle w:val="ListParagraph"/>
        <w:jc w:val="both"/>
      </w:pPr>
    </w:p>
    <w:p w:rsidR="00490AA2" w:rsidRPr="00880E0A" w:rsidP="00490AA2">
      <w:pPr>
        <w:pStyle w:val="ListParagraph"/>
        <w:numPr>
          <w:ilvl w:val="0"/>
          <w:numId w:val="1"/>
        </w:numPr>
        <w:jc w:val="both"/>
      </w:pPr>
      <w:r w:rsidRPr="00880E0A">
        <w:t>Lake Ashton I can cancel Interlocal Agreement until November 15, 2019, if due diligence reveals conditions that make acquisition unsuitable (same cancellation right as LAII under the PSA) [Section 2.4]</w:t>
      </w:r>
    </w:p>
    <w:p w:rsidR="00880E0A" w:rsidRPr="00880E0A" w:rsidP="00880E0A">
      <w:pPr>
        <w:pStyle w:val="ListParagraph"/>
      </w:pPr>
    </w:p>
    <w:p w:rsidR="00880E0A" w:rsidRPr="00880E0A" w:rsidP="00490AA2">
      <w:pPr>
        <w:pStyle w:val="ListParagraph"/>
        <w:numPr>
          <w:ilvl w:val="0"/>
          <w:numId w:val="1"/>
        </w:numPr>
        <w:jc w:val="both"/>
      </w:pPr>
      <w:r w:rsidRPr="00880E0A">
        <w:t xml:space="preserve">LAI receives title policy for the East Course in the amount of $250,000 [Section 2.1] </w:t>
      </w:r>
    </w:p>
    <w:p w:rsidR="00490AA2" w:rsidP="00880E0A">
      <w:pPr>
        <w:pStyle w:val="ListParagraph"/>
        <w:jc w:val="both"/>
      </w:pPr>
    </w:p>
    <w:p w:rsidR="003F1723" w:rsidP="00490AA2">
      <w:pPr>
        <w:pStyle w:val="ListParagraph"/>
        <w:numPr>
          <w:ilvl w:val="0"/>
          <w:numId w:val="1"/>
        </w:numPr>
        <w:jc w:val="both"/>
      </w:pPr>
      <w:r>
        <w:t>Lake Ashton I and Lake Ashton II will enter into a long-term lease agreement relating to Lake Ashton II’s lease of the East Course from Lake Ashton I [Section 3.2]</w:t>
      </w:r>
    </w:p>
    <w:p w:rsidR="003F1723" w:rsidP="003F1723">
      <w:pPr>
        <w:pStyle w:val="ListParagraph"/>
      </w:pPr>
    </w:p>
    <w:p w:rsidR="003D7C81" w:rsidP="00490AA2">
      <w:pPr>
        <w:pStyle w:val="ListParagraph"/>
        <w:numPr>
          <w:ilvl w:val="0"/>
          <w:numId w:val="1"/>
        </w:numPr>
        <w:jc w:val="both"/>
      </w:pPr>
      <w:r>
        <w:t>L</w:t>
      </w:r>
      <w:r w:rsidR="00880E0A">
        <w:t>A</w:t>
      </w:r>
      <w:r>
        <w:t>I shall have no financial or other responsibility for the ownership, maintenance, management, repair and replacement of the Golf Club</w:t>
      </w:r>
      <w:r w:rsidR="00880E0A">
        <w:t>, except for the pathways, bridges, and ponds in the East Course</w:t>
      </w:r>
      <w:r>
        <w:t xml:space="preserve">.  </w:t>
      </w:r>
      <w:r w:rsidRPr="002C7046">
        <w:rPr>
          <w:i/>
        </w:rPr>
        <w:t>[Section 3</w:t>
      </w:r>
      <w:r w:rsidR="00880E0A">
        <w:rPr>
          <w:i/>
        </w:rPr>
        <w:t>.1</w:t>
      </w:r>
      <w:r w:rsidRPr="002C7046">
        <w:rPr>
          <w:i/>
        </w:rPr>
        <w:t>]</w:t>
      </w:r>
    </w:p>
    <w:p w:rsidR="003D7C81" w:rsidP="00490AA2">
      <w:pPr>
        <w:pStyle w:val="ListParagraph"/>
        <w:jc w:val="both"/>
      </w:pPr>
    </w:p>
    <w:p w:rsidR="00A6669E" w:rsidP="00490AA2">
      <w:pPr>
        <w:pStyle w:val="ListParagraph"/>
        <w:numPr>
          <w:ilvl w:val="0"/>
          <w:numId w:val="1"/>
        </w:numPr>
        <w:jc w:val="both"/>
      </w:pPr>
      <w:r>
        <w:t xml:space="preserve">There shall be equal use and access of the Golf Club by landowners and residents of Lake Ashton I and Lake Ashton II. </w:t>
      </w:r>
      <w:r w:rsidRPr="002C7046">
        <w:rPr>
          <w:i/>
        </w:rPr>
        <w:t>[Section 4]</w:t>
      </w:r>
    </w:p>
    <w:p w:rsidR="003D7C81" w:rsidP="00490AA2">
      <w:pPr>
        <w:pStyle w:val="ListParagraph"/>
        <w:jc w:val="both"/>
      </w:pPr>
    </w:p>
    <w:p w:rsidR="00A6669E" w:rsidRPr="00581D43" w:rsidP="00490AA2">
      <w:pPr>
        <w:pStyle w:val="ListParagraph"/>
        <w:numPr>
          <w:ilvl w:val="0"/>
          <w:numId w:val="1"/>
        </w:numPr>
        <w:jc w:val="both"/>
      </w:pPr>
      <w:r w:rsidRPr="00581D43">
        <w:t xml:space="preserve">Lake Ashton I shall maintain the pathways, bridges, and ponds in the East Course. Lake Ashton II shall maintain the pathways, bridges and ponds in the West Course. </w:t>
      </w:r>
      <w:r>
        <w:t>[Section 5.1]</w:t>
      </w:r>
    </w:p>
    <w:p w:rsidR="003D7C81" w:rsidP="00490AA2">
      <w:pPr>
        <w:pStyle w:val="ListParagraph"/>
        <w:jc w:val="both"/>
      </w:pPr>
    </w:p>
    <w:p w:rsidR="00A6669E" w:rsidP="00490AA2">
      <w:pPr>
        <w:pStyle w:val="ListParagraph"/>
        <w:numPr>
          <w:ilvl w:val="0"/>
          <w:numId w:val="1"/>
        </w:numPr>
        <w:jc w:val="both"/>
      </w:pPr>
      <w:r>
        <w:t xml:space="preserve">Lake Ashton I </w:t>
      </w:r>
      <w:r w:rsidR="002C7046">
        <w:t xml:space="preserve">agrees to </w:t>
      </w:r>
      <w:r>
        <w:t xml:space="preserve">support Lake Ashton II’s request(s) for recreation powers. </w:t>
      </w:r>
      <w:r w:rsidRPr="002C7046">
        <w:rPr>
          <w:i/>
        </w:rPr>
        <w:t>[Section 6.1]</w:t>
      </w:r>
    </w:p>
    <w:p w:rsidR="003D7C81" w:rsidP="00490AA2">
      <w:pPr>
        <w:pStyle w:val="ListParagraph"/>
        <w:jc w:val="both"/>
      </w:pPr>
    </w:p>
    <w:p w:rsidR="00A6669E" w:rsidP="00490AA2">
      <w:pPr>
        <w:pStyle w:val="ListParagraph"/>
        <w:numPr>
          <w:ilvl w:val="0"/>
          <w:numId w:val="1"/>
        </w:numPr>
        <w:jc w:val="both"/>
      </w:pPr>
      <w:r>
        <w:t xml:space="preserve">Lake Ashton I </w:t>
      </w:r>
      <w:r w:rsidR="002C7046">
        <w:t>agrees to</w:t>
      </w:r>
      <w:r>
        <w:t xml:space="preserve"> support Lake Ashton II’s efforts to effectuate a boundary amendment to move specifically identified, </w:t>
      </w:r>
      <w:r w:rsidRPr="003D7C81">
        <w:rPr>
          <w:u w:val="single"/>
        </w:rPr>
        <w:t>non-residential</w:t>
      </w:r>
      <w:r>
        <w:t xml:space="preserve"> lands </w:t>
      </w:r>
      <w:r w:rsidR="002C7046">
        <w:t>(</w:t>
      </w:r>
      <w:r>
        <w:t xml:space="preserve">generally comprised of golf holes 14, 15 and 16 of the </w:t>
      </w:r>
      <w:r w:rsidR="00403A1D">
        <w:t>W</w:t>
      </w:r>
      <w:r>
        <w:t xml:space="preserve">est </w:t>
      </w:r>
      <w:r w:rsidR="00403A1D">
        <w:t>C</w:t>
      </w:r>
      <w:r>
        <w:t>ourse</w:t>
      </w:r>
      <w:r w:rsidR="00880E0A">
        <w:t xml:space="preserve"> and portions of the Clubhouse</w:t>
      </w:r>
      <w:r w:rsidR="002C7046">
        <w:t>)</w:t>
      </w:r>
      <w:r>
        <w:t xml:space="preserve"> from </w:t>
      </w:r>
      <w:r w:rsidR="003D7C81">
        <w:t xml:space="preserve">the boundaries of </w:t>
      </w:r>
      <w:r>
        <w:t xml:space="preserve">Lake Ashton I to </w:t>
      </w:r>
      <w:r w:rsidR="003D7C81">
        <w:t xml:space="preserve">the boundaries of </w:t>
      </w:r>
      <w:r>
        <w:t>Lake Ashton II.</w:t>
      </w:r>
      <w:r w:rsidR="003D7C81">
        <w:t xml:space="preserve"> </w:t>
      </w:r>
      <w:r w:rsidRPr="002C7046" w:rsidR="003D7C81">
        <w:rPr>
          <w:i/>
        </w:rPr>
        <w:t>[Section 6.2]</w:t>
      </w:r>
    </w:p>
    <w:p w:rsidR="003D7C81" w:rsidP="00490AA2">
      <w:pPr>
        <w:pStyle w:val="ListParagraph"/>
        <w:jc w:val="both"/>
      </w:pPr>
    </w:p>
    <w:p w:rsidR="00A6669E" w:rsidP="00490AA2">
      <w:pPr>
        <w:pStyle w:val="ListParagraph"/>
        <w:numPr>
          <w:ilvl w:val="0"/>
          <w:numId w:val="1"/>
        </w:numPr>
        <w:jc w:val="both"/>
      </w:pPr>
      <w:r>
        <w:t xml:space="preserve">Lake Ashton I </w:t>
      </w:r>
      <w:r w:rsidR="002C7046">
        <w:t>agrees to</w:t>
      </w:r>
      <w:r>
        <w:t xml:space="preserve"> cooperate in the establishment of equal fees for all residents and landowners</w:t>
      </w:r>
      <w:r w:rsidR="002C7046">
        <w:t xml:space="preserve"> in both Districts</w:t>
      </w:r>
      <w:r>
        <w:t xml:space="preserve"> for the use of </w:t>
      </w:r>
      <w:r w:rsidR="002C7046">
        <w:t xml:space="preserve">the </w:t>
      </w:r>
      <w:r>
        <w:t>Golf C</w:t>
      </w:r>
      <w:r w:rsidR="002C7046">
        <w:t>lub</w:t>
      </w:r>
      <w:r>
        <w:t xml:space="preserve"> located within Lake Ashton I. </w:t>
      </w:r>
      <w:r w:rsidRPr="002C7046">
        <w:rPr>
          <w:i/>
        </w:rPr>
        <w:t>[Section 6.3]</w:t>
      </w:r>
    </w:p>
    <w:p w:rsidR="003D7C81" w:rsidP="00490AA2">
      <w:pPr>
        <w:pStyle w:val="ListParagraph"/>
        <w:jc w:val="both"/>
      </w:pPr>
    </w:p>
    <w:p w:rsidR="003D7C81" w:rsidRPr="00A6669E" w:rsidP="00490AA2">
      <w:pPr>
        <w:pStyle w:val="ListParagraph"/>
        <w:numPr>
          <w:ilvl w:val="0"/>
          <w:numId w:val="1"/>
        </w:numPr>
        <w:jc w:val="both"/>
      </w:pPr>
      <w:r>
        <w:t xml:space="preserve">Both Districts </w:t>
      </w:r>
      <w:r>
        <w:t xml:space="preserve">shall prepare and record for the benefit of </w:t>
      </w:r>
      <w:r>
        <w:t xml:space="preserve">the other District’s </w:t>
      </w:r>
      <w:r>
        <w:t xml:space="preserve">landowners and residents and golfers a non-exclusive, perpetual easement over the Pathways.  </w:t>
      </w:r>
      <w:r w:rsidRPr="002C7046">
        <w:rPr>
          <w:i/>
        </w:rPr>
        <w:t xml:space="preserve">[Section </w:t>
      </w:r>
      <w:r>
        <w:rPr>
          <w:i/>
        </w:rPr>
        <w:t>5.2</w:t>
      </w:r>
      <w:r w:rsidRPr="002C7046">
        <w:rPr>
          <w:i/>
        </w:rPr>
        <w:t>]</w:t>
      </w:r>
    </w:p>
    <w:sectPr w:rsidSect="003F1723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3147E6"/>
    <w:multiLevelType w:val="hybridMultilevel"/>
    <w:tmpl w:val="DE8C5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E"/>
    <w:rsid w:val="002C7046"/>
    <w:rsid w:val="003B6CBE"/>
    <w:rsid w:val="003D7C81"/>
    <w:rsid w:val="003F1723"/>
    <w:rsid w:val="00403A1D"/>
    <w:rsid w:val="00461CE7"/>
    <w:rsid w:val="00490AA2"/>
    <w:rsid w:val="004E75A4"/>
    <w:rsid w:val="0052569F"/>
    <w:rsid w:val="00581D43"/>
    <w:rsid w:val="00880E0A"/>
    <w:rsid w:val="00A6669E"/>
    <w:rsid w:val="00BB3EDE"/>
    <w:rsid w:val="00CD49D3"/>
    <w:rsid w:val="00DF1D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825AD-07DA-4EF0-AD9D-3EB15CA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69E"/>
    <w:pPr>
      <w:ind w:left="720"/>
      <w:contextualSpacing/>
    </w:pPr>
  </w:style>
  <w:style w:type="paragraph" w:styleId="NoSpacing">
    <w:name w:val="No Spacing"/>
    <w:uiPriority w:val="1"/>
    <w:qFormat/>
    <w:rsid w:val="003D7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2019-11-07T17:57:47Z</dcterms:created>
  <dcterms:modified xsi:type="dcterms:W3CDTF">2019-11-07T17:57:47Z</dcterms:modified>
</cp:coreProperties>
</file>